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10B38" w14:textId="59EF9E1C" w:rsidR="000636BA" w:rsidRPr="00690447" w:rsidRDefault="006D58A9" w:rsidP="000636BA">
      <w:pPr>
        <w:tabs>
          <w:tab w:val="left" w:pos="1985"/>
        </w:tabs>
        <w:spacing w:after="0"/>
        <w:jc w:val="both"/>
        <w:rPr>
          <w:rFonts w:ascii="Arial" w:hAnsi="Arial" w:cs="Arial"/>
          <w:b/>
          <w:bCs/>
          <w:sz w:val="24"/>
        </w:rPr>
      </w:pPr>
      <w:r>
        <w:rPr>
          <w:rFonts w:ascii="Arial" w:hAnsi="Arial" w:cs="Arial"/>
          <w:b/>
          <w:bCs/>
          <w:sz w:val="24"/>
        </w:rPr>
        <w:t>3GPP TSG RAN WG1 Meeting AH 1801</w:t>
      </w:r>
      <w:r w:rsidR="000636BA" w:rsidRPr="00690447">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sidRPr="00690447">
        <w:rPr>
          <w:rFonts w:ascii="Arial" w:hAnsi="Arial" w:cs="Arial"/>
          <w:b/>
          <w:bCs/>
          <w:sz w:val="24"/>
        </w:rPr>
        <w:t>R1-</w:t>
      </w:r>
      <w:r>
        <w:rPr>
          <w:rFonts w:ascii="Arial" w:hAnsi="Arial" w:cs="Arial"/>
          <w:b/>
          <w:bCs/>
          <w:sz w:val="24"/>
        </w:rPr>
        <w:t>18</w:t>
      </w:r>
      <w:r w:rsidR="004416FF">
        <w:rPr>
          <w:rFonts w:ascii="Arial" w:hAnsi="Arial" w:cs="Arial"/>
          <w:b/>
          <w:bCs/>
          <w:sz w:val="24"/>
          <w:lang w:eastAsia="zh-CN"/>
        </w:rPr>
        <w:t>00306</w:t>
      </w:r>
    </w:p>
    <w:p w14:paraId="1EB85490" w14:textId="0019959A" w:rsidR="000636BA" w:rsidRDefault="006D58A9" w:rsidP="000636BA">
      <w:pPr>
        <w:tabs>
          <w:tab w:val="left" w:pos="1985"/>
        </w:tabs>
        <w:spacing w:after="0"/>
        <w:jc w:val="both"/>
        <w:rPr>
          <w:rFonts w:ascii="Arial" w:hAnsi="Arial" w:cs="Arial"/>
          <w:b/>
          <w:bCs/>
          <w:sz w:val="24"/>
        </w:rPr>
      </w:pPr>
      <w:r w:rsidRPr="006D58A9">
        <w:rPr>
          <w:rFonts w:ascii="Arial" w:hAnsi="Arial" w:cs="Arial"/>
          <w:b/>
          <w:bCs/>
          <w:sz w:val="24"/>
        </w:rPr>
        <w:t>Vancouver, Canada, January 22nd – 26th, 2018</w:t>
      </w:r>
    </w:p>
    <w:p w14:paraId="673E8FE2" w14:textId="77777777" w:rsidR="00BE3E52" w:rsidRPr="006D58A9"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36C7CE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37191ED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D3527F">
        <w:rPr>
          <w:rFonts w:ascii="Arial" w:hAnsi="Arial" w:cs="Arial"/>
          <w:b/>
          <w:sz w:val="24"/>
          <w:lang w:val="en-US"/>
        </w:rPr>
        <w:t>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6AC6757F" w:rsidR="009A0886" w:rsidRDefault="006D58A9" w:rsidP="00026770">
      <w:pPr>
        <w:ind w:firstLine="284"/>
        <w:jc w:val="both"/>
        <w:rPr>
          <w:sz w:val="22"/>
          <w:szCs w:val="22"/>
          <w:lang w:eastAsia="zh-CN"/>
        </w:rPr>
      </w:pPr>
      <w:r>
        <w:rPr>
          <w:sz w:val="22"/>
          <w:szCs w:val="22"/>
          <w:lang w:eastAsia="zh-CN"/>
        </w:rPr>
        <w:t>In RAN1 #91</w:t>
      </w:r>
      <w:r w:rsidR="009A0886">
        <w:rPr>
          <w:sz w:val="22"/>
          <w:szCs w:val="22"/>
          <w:lang w:eastAsia="zh-CN"/>
        </w:rPr>
        <w:t xml:space="preserve"> meeting, </w:t>
      </w:r>
      <w:r>
        <w:rPr>
          <w:sz w:val="22"/>
          <w:szCs w:val="22"/>
          <w:lang w:eastAsia="zh-CN"/>
        </w:rPr>
        <w:t xml:space="preserve">the main issues </w:t>
      </w:r>
      <w:r w:rsidR="009A0886">
        <w:rPr>
          <w:sz w:val="22"/>
          <w:szCs w:val="22"/>
          <w:lang w:eastAsia="zh-CN"/>
        </w:rPr>
        <w:t xml:space="preserve">for UL codebook based transmission have been </w:t>
      </w:r>
      <w:r>
        <w:rPr>
          <w:sz w:val="22"/>
          <w:szCs w:val="22"/>
          <w:lang w:eastAsia="zh-CN"/>
        </w:rPr>
        <w:t>resolved</w:t>
      </w:r>
      <w:r w:rsidR="009A0886">
        <w:rPr>
          <w:sz w:val="22"/>
          <w:szCs w:val="22"/>
          <w:lang w:eastAsia="zh-CN"/>
        </w:rPr>
        <w:t xml:space="preserve">. </w:t>
      </w:r>
      <w:r>
        <w:rPr>
          <w:sz w:val="22"/>
          <w:szCs w:val="22"/>
          <w:lang w:eastAsia="zh-CN"/>
        </w:rPr>
        <w:t xml:space="preserve">Based on the following agreements </w:t>
      </w:r>
      <w:r w:rsidR="009A0886">
        <w:rPr>
          <w:sz w:val="22"/>
          <w:szCs w:val="22"/>
          <w:lang w:eastAsia="zh-CN"/>
        </w:rPr>
        <w:t>[1]</w:t>
      </w:r>
      <w:r>
        <w:rPr>
          <w:sz w:val="22"/>
          <w:szCs w:val="22"/>
          <w:lang w:eastAsia="zh-CN"/>
        </w:rPr>
        <w:t>, a UE can be configured with 1 SRS resource set for uplink codebook based transmission, which contains up to 2 SRS resources.</w:t>
      </w:r>
      <w:r w:rsidR="00563C64">
        <w:rPr>
          <w:sz w:val="22"/>
          <w:szCs w:val="22"/>
          <w:lang w:eastAsia="zh-CN"/>
        </w:rPr>
        <w:t xml:space="preserve"> How to use the 2 SRS resources is still unclear. Further, in RAN1 #88b meeting, it has been agreed that the frequency selective precoding is supported when the number of antenna ports is 4, the details for the frequency selective precoding </w:t>
      </w:r>
      <w:r w:rsidR="00DA6759">
        <w:rPr>
          <w:sz w:val="22"/>
          <w:szCs w:val="22"/>
          <w:lang w:eastAsia="zh-CN"/>
        </w:rPr>
        <w:t>are</w:t>
      </w:r>
      <w:r w:rsidR="00563C64">
        <w:rPr>
          <w:sz w:val="22"/>
          <w:szCs w:val="22"/>
          <w:lang w:eastAsia="zh-CN"/>
        </w:rPr>
        <w:t xml:space="preserve"> also unclear.</w:t>
      </w:r>
    </w:p>
    <w:p w14:paraId="596EFEBA" w14:textId="77777777" w:rsidR="006D58A9" w:rsidRPr="006D58A9" w:rsidRDefault="006D58A9" w:rsidP="006D58A9">
      <w:pPr>
        <w:pStyle w:val="text"/>
        <w:rPr>
          <w:b/>
          <w:i/>
          <w:sz w:val="22"/>
          <w:szCs w:val="22"/>
          <w:highlight w:val="green"/>
          <w:lang w:eastAsia="ja-JP"/>
        </w:rPr>
      </w:pPr>
      <w:r w:rsidRPr="006D58A9">
        <w:rPr>
          <w:b/>
          <w:i/>
          <w:sz w:val="22"/>
          <w:szCs w:val="22"/>
          <w:highlight w:val="green"/>
          <w:lang w:eastAsia="ja-JP"/>
        </w:rPr>
        <w:t>Agreement:</w:t>
      </w:r>
    </w:p>
    <w:p w14:paraId="122F09FA" w14:textId="77777777" w:rsidR="006D58A9" w:rsidRPr="006D58A9" w:rsidRDefault="006D58A9" w:rsidP="006D58A9">
      <w:pPr>
        <w:pStyle w:val="text"/>
        <w:rPr>
          <w:i/>
          <w:sz w:val="22"/>
          <w:szCs w:val="22"/>
        </w:rPr>
      </w:pPr>
      <w:r w:rsidRPr="006D58A9">
        <w:rPr>
          <w:i/>
          <w:sz w:val="22"/>
          <w:szCs w:val="22"/>
        </w:rPr>
        <w:t>For codebook-based UL, UE can only be configured with one SRS resource set.</w:t>
      </w:r>
    </w:p>
    <w:p w14:paraId="319E7E95" w14:textId="77777777" w:rsidR="006D58A9" w:rsidRPr="006D58A9" w:rsidRDefault="006D58A9" w:rsidP="006D58A9">
      <w:pPr>
        <w:pStyle w:val="bullet1"/>
        <w:rPr>
          <w:rFonts w:ascii="Times New Roman" w:hAnsi="Times New Roman"/>
          <w:i/>
          <w:sz w:val="22"/>
          <w:szCs w:val="22"/>
          <w:lang w:val="en-US"/>
        </w:rPr>
      </w:pPr>
      <w:r w:rsidRPr="006D58A9">
        <w:rPr>
          <w:rFonts w:ascii="Times New Roman" w:hAnsi="Times New Roman"/>
          <w:i/>
          <w:sz w:val="22"/>
          <w:szCs w:val="22"/>
          <w:lang w:val="en-US"/>
        </w:rPr>
        <w:t xml:space="preserve">Only one SRS resource is selected within the set via the SRI </w:t>
      </w:r>
      <w:proofErr w:type="gramStart"/>
      <w:r w:rsidRPr="006D58A9">
        <w:rPr>
          <w:rFonts w:ascii="Times New Roman" w:hAnsi="Times New Roman"/>
          <w:i/>
          <w:sz w:val="22"/>
          <w:szCs w:val="22"/>
          <w:lang w:val="en-US"/>
        </w:rPr>
        <w:t>field</w:t>
      </w:r>
      <w:proofErr w:type="gramEnd"/>
      <w:r w:rsidRPr="006D58A9">
        <w:rPr>
          <w:rFonts w:ascii="Times New Roman" w:hAnsi="Times New Roman"/>
          <w:i/>
          <w:sz w:val="22"/>
          <w:szCs w:val="22"/>
          <w:lang w:val="en-US"/>
        </w:rPr>
        <w:t xml:space="preserve"> in UL grant.</w:t>
      </w:r>
    </w:p>
    <w:p w14:paraId="286AEDE7" w14:textId="77777777" w:rsidR="006D58A9" w:rsidRPr="006D58A9" w:rsidRDefault="006D58A9" w:rsidP="006D58A9">
      <w:pPr>
        <w:pStyle w:val="bullet1"/>
        <w:rPr>
          <w:rFonts w:ascii="Times New Roman" w:hAnsi="Times New Roman"/>
          <w:i/>
          <w:sz w:val="22"/>
          <w:szCs w:val="22"/>
          <w:lang w:val="en-US"/>
        </w:rPr>
      </w:pPr>
      <w:r w:rsidRPr="006D58A9">
        <w:rPr>
          <w:rFonts w:ascii="Times New Roman" w:hAnsi="Times New Roman"/>
          <w:i/>
          <w:sz w:val="22"/>
          <w:szCs w:val="22"/>
          <w:lang w:val="en-US"/>
        </w:rPr>
        <w:t xml:space="preserve">The SRI </w:t>
      </w:r>
      <w:proofErr w:type="gramStart"/>
      <w:r w:rsidRPr="006D58A9">
        <w:rPr>
          <w:rFonts w:ascii="Times New Roman" w:hAnsi="Times New Roman"/>
          <w:i/>
          <w:sz w:val="22"/>
          <w:szCs w:val="22"/>
          <w:lang w:val="en-US"/>
        </w:rPr>
        <w:t>field</w:t>
      </w:r>
      <w:proofErr w:type="gramEnd"/>
      <w:r w:rsidRPr="006D58A9">
        <w:rPr>
          <w:rFonts w:ascii="Times New Roman" w:hAnsi="Times New Roman"/>
          <w:i/>
          <w:sz w:val="22"/>
          <w:szCs w:val="22"/>
          <w:lang w:val="en-US"/>
        </w:rPr>
        <w:t xml:space="preserve"> in UL grant is independently encoded from at least TPMI in the same UL grant.</w:t>
      </w:r>
    </w:p>
    <w:p w14:paraId="29356D3E" w14:textId="77777777" w:rsidR="006D58A9" w:rsidRPr="006D58A9" w:rsidRDefault="006D58A9" w:rsidP="006D58A9">
      <w:pPr>
        <w:pStyle w:val="bullet2"/>
        <w:rPr>
          <w:rFonts w:ascii="Times New Roman" w:hAnsi="Times New Roman"/>
          <w:i/>
          <w:sz w:val="22"/>
          <w:szCs w:val="22"/>
          <w:lang w:val="en-US"/>
        </w:rPr>
      </w:pPr>
      <w:r w:rsidRPr="006D58A9">
        <w:rPr>
          <w:rFonts w:ascii="Times New Roman" w:hAnsi="Times New Roman"/>
          <w:i/>
          <w:sz w:val="22"/>
          <w:szCs w:val="22"/>
          <w:lang w:val="en-US"/>
        </w:rPr>
        <w:t xml:space="preserve">The </w:t>
      </w:r>
      <w:proofErr w:type="spellStart"/>
      <w:r w:rsidRPr="006D58A9">
        <w:rPr>
          <w:rFonts w:ascii="Times New Roman" w:hAnsi="Times New Roman"/>
          <w:i/>
          <w:sz w:val="22"/>
          <w:szCs w:val="22"/>
          <w:lang w:val="en-US"/>
        </w:rPr>
        <w:t>bitwidth</w:t>
      </w:r>
      <w:proofErr w:type="spellEnd"/>
      <w:r w:rsidRPr="006D58A9">
        <w:rPr>
          <w:rFonts w:ascii="Times New Roman" w:hAnsi="Times New Roman"/>
          <w:i/>
          <w:sz w:val="22"/>
          <w:szCs w:val="22"/>
          <w:lang w:val="en-US"/>
        </w:rPr>
        <w:t xml:space="preserve"> of SRI field in UL grant is determined by N = </w:t>
      </w:r>
      <w:proofErr w:type="gramStart"/>
      <w:r w:rsidRPr="006D58A9">
        <w:rPr>
          <w:rFonts w:ascii="Times New Roman" w:hAnsi="Times New Roman"/>
          <w:i/>
          <w:sz w:val="22"/>
          <w:szCs w:val="22"/>
          <w:lang w:val="en-US"/>
        </w:rPr>
        <w:t>ceil(</w:t>
      </w:r>
      <w:proofErr w:type="gramEnd"/>
      <w:r w:rsidRPr="006D58A9">
        <w:rPr>
          <w:rFonts w:ascii="Times New Roman" w:hAnsi="Times New Roman"/>
          <w:i/>
          <w:sz w:val="22"/>
          <w:szCs w:val="22"/>
          <w:lang w:val="en-US"/>
        </w:rPr>
        <w:t>log2(# of SRS resources in the set)).</w:t>
      </w:r>
    </w:p>
    <w:p w14:paraId="01ACB174" w14:textId="77777777" w:rsidR="006D58A9" w:rsidRPr="006D58A9" w:rsidRDefault="006D58A9" w:rsidP="006D58A9">
      <w:pPr>
        <w:pStyle w:val="bullet1"/>
        <w:rPr>
          <w:rFonts w:ascii="Times New Roman" w:hAnsi="Times New Roman"/>
          <w:i/>
          <w:sz w:val="22"/>
          <w:szCs w:val="22"/>
          <w:lang w:val="en-US"/>
        </w:rPr>
      </w:pPr>
      <w:r w:rsidRPr="006D58A9">
        <w:rPr>
          <w:rFonts w:ascii="Times New Roman" w:hAnsi="Times New Roman"/>
          <w:i/>
          <w:sz w:val="22"/>
          <w:szCs w:val="22"/>
          <w:lang w:val="en-US"/>
        </w:rPr>
        <w:t>Note: This SRS resource set can be reused for UL BM as well, or another separated SRS resource set for UL BM can be configured to the UE, according to gNB implementation.</w:t>
      </w:r>
    </w:p>
    <w:p w14:paraId="59205F05" w14:textId="77777777" w:rsidR="006D58A9" w:rsidRPr="006D58A9" w:rsidRDefault="006D58A9" w:rsidP="006D58A9">
      <w:pPr>
        <w:rPr>
          <w:i/>
          <w:sz w:val="22"/>
          <w:szCs w:val="22"/>
          <w:lang w:val="en-US" w:eastAsia="x-none"/>
        </w:rPr>
      </w:pPr>
    </w:p>
    <w:p w14:paraId="49EA1F48" w14:textId="77777777" w:rsidR="006D58A9" w:rsidRPr="006D58A9" w:rsidRDefault="006D58A9" w:rsidP="006D58A9">
      <w:pPr>
        <w:pStyle w:val="text"/>
        <w:rPr>
          <w:b/>
          <w:i/>
          <w:sz w:val="22"/>
          <w:szCs w:val="22"/>
          <w:highlight w:val="green"/>
          <w:lang w:eastAsia="ja-JP"/>
        </w:rPr>
      </w:pPr>
      <w:r w:rsidRPr="006D58A9">
        <w:rPr>
          <w:b/>
          <w:i/>
          <w:sz w:val="22"/>
          <w:szCs w:val="22"/>
          <w:highlight w:val="green"/>
          <w:lang w:eastAsia="ja-JP"/>
        </w:rPr>
        <w:t>Agreement:</w:t>
      </w:r>
    </w:p>
    <w:p w14:paraId="35BEDD2E" w14:textId="77777777" w:rsidR="006D58A9" w:rsidRPr="006D58A9" w:rsidRDefault="006D58A9" w:rsidP="006D58A9">
      <w:pPr>
        <w:pStyle w:val="text"/>
        <w:rPr>
          <w:i/>
          <w:sz w:val="22"/>
          <w:szCs w:val="22"/>
        </w:rPr>
      </w:pPr>
      <w:r w:rsidRPr="006D58A9">
        <w:rPr>
          <w:i/>
          <w:sz w:val="22"/>
          <w:szCs w:val="22"/>
        </w:rPr>
        <w:t>Maximum number of SRS resources that can be configured for codebook based uplink transmission is 2</w:t>
      </w:r>
    </w:p>
    <w:p w14:paraId="28D0451C" w14:textId="1F34C440"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Pr>
          <w:sz w:val="22"/>
          <w:szCs w:val="22"/>
          <w:lang w:eastAsia="zh-CN"/>
        </w:rPr>
        <w:t xml:space="preserve">UL codebook design </w:t>
      </w:r>
      <w:r w:rsidR="00690447">
        <w:rPr>
          <w:sz w:val="22"/>
          <w:szCs w:val="22"/>
          <w:lang w:eastAsia="zh-CN"/>
        </w:rPr>
        <w:t xml:space="preserve">including the </w:t>
      </w:r>
      <w:r w:rsidR="006D58A9">
        <w:rPr>
          <w:sz w:val="22"/>
          <w:szCs w:val="22"/>
          <w:lang w:eastAsia="zh-CN"/>
        </w:rPr>
        <w:t xml:space="preserve">SRS resource configuration and the </w:t>
      </w:r>
      <w:r w:rsidR="00563C64">
        <w:rPr>
          <w:sz w:val="22"/>
          <w:szCs w:val="22"/>
          <w:lang w:eastAsia="zh-CN"/>
        </w:rPr>
        <w:t>frequency selective precoding</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35EFEF31" w:rsidR="006731E5" w:rsidRPr="006731E5" w:rsidRDefault="00873422" w:rsidP="00873422">
      <w:pPr>
        <w:pStyle w:val="Heading2"/>
        <w:rPr>
          <w:lang w:val="en-US" w:eastAsia="zh-CN"/>
        </w:rPr>
      </w:pPr>
      <w:r>
        <w:rPr>
          <w:lang w:val="en-US" w:eastAsia="zh-CN"/>
        </w:rPr>
        <w:t xml:space="preserve">2.1 </w:t>
      </w:r>
      <w:r w:rsidR="00563C64">
        <w:rPr>
          <w:lang w:val="en-US" w:eastAsia="zh-CN"/>
        </w:rPr>
        <w:t>SRS resource configuration</w:t>
      </w:r>
    </w:p>
    <w:p w14:paraId="66DAAD65" w14:textId="2D3F138A" w:rsidR="00510EC2" w:rsidRDefault="00DA6759" w:rsidP="00510EC2">
      <w:pPr>
        <w:ind w:firstLine="284"/>
        <w:jc w:val="both"/>
        <w:rPr>
          <w:sz w:val="22"/>
          <w:szCs w:val="22"/>
          <w:lang w:val="en-US" w:eastAsia="zh-CN"/>
        </w:rPr>
      </w:pPr>
      <w:r>
        <w:rPr>
          <w:sz w:val="22"/>
          <w:szCs w:val="22"/>
          <w:lang w:val="en-US" w:eastAsia="zh-CN"/>
        </w:rPr>
        <w:t xml:space="preserve">It has been agreed that for uplink codebook based transmission, a UE can be configured with 1 SRS resource set, which includes up to 2 SRS resources. </w:t>
      </w:r>
      <w:r w:rsidR="00481315">
        <w:rPr>
          <w:sz w:val="22"/>
          <w:szCs w:val="22"/>
          <w:lang w:val="en-US" w:eastAsia="zh-CN"/>
        </w:rPr>
        <w:t>If 2 SRS resource is configured, 1 bit SRI should be indicated in the DCI. However if the number of antenna ports in two SRS resources are different, the bit-width for uplink precoder indication could be different</w:t>
      </w:r>
      <w:r w:rsidR="00B305F9">
        <w:rPr>
          <w:sz w:val="22"/>
          <w:szCs w:val="22"/>
          <w:lang w:val="en-US" w:eastAsia="zh-CN"/>
        </w:rPr>
        <w:t xml:space="preserve"> if different SRI is indicated</w:t>
      </w:r>
      <w:r w:rsidR="00481315">
        <w:rPr>
          <w:sz w:val="22"/>
          <w:szCs w:val="22"/>
          <w:lang w:val="en-US" w:eastAsia="zh-CN"/>
        </w:rPr>
        <w:t>. Therefore it is better that the SRS resources in the resource set for uplink codebook based transmission should be configured with the same number of antenna ports.</w:t>
      </w:r>
    </w:p>
    <w:p w14:paraId="3ABB1B16" w14:textId="498A43FF" w:rsidR="00D62E52" w:rsidRDefault="00B305F9" w:rsidP="00AC7949">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urther </w:t>
      </w:r>
      <w:r w:rsidR="00D52D27">
        <w:rPr>
          <w:sz w:val="22"/>
          <w:szCs w:val="22"/>
          <w:lang w:val="en-US" w:eastAsia="zh-CN"/>
        </w:rPr>
        <w:t>the SRS resources are used for panel selection, so the antenna port index should be different in different SRS resource. For multi-panel transmission, there can be the following options:</w:t>
      </w:r>
    </w:p>
    <w:p w14:paraId="710AE1ED" w14:textId="3E6CBB89" w:rsidR="00D52D27" w:rsidRPr="00FB0F6E" w:rsidRDefault="00D52D27" w:rsidP="00D52D27">
      <w:pPr>
        <w:pStyle w:val="ListParagraph"/>
        <w:numPr>
          <w:ilvl w:val="0"/>
          <w:numId w:val="41"/>
        </w:numPr>
        <w:jc w:val="both"/>
        <w:rPr>
          <w:rFonts w:ascii="Times New Roman" w:hAnsi="Times New Roman"/>
          <w:lang w:eastAsia="zh-CN"/>
        </w:rPr>
      </w:pPr>
      <w:r w:rsidRPr="00FB0F6E">
        <w:rPr>
          <w:rFonts w:ascii="Times New Roman" w:eastAsiaTheme="minorEastAsia" w:hAnsi="Times New Roman"/>
          <w:lang w:eastAsia="zh-CN"/>
        </w:rPr>
        <w:t>Option 1: a single DCI is used to schedule multi-panel transmission</w:t>
      </w:r>
    </w:p>
    <w:p w14:paraId="71F77C69" w14:textId="0DA9EAC0" w:rsidR="00D52D27" w:rsidRPr="00FB0F6E" w:rsidRDefault="00D52D27" w:rsidP="00D52D27">
      <w:pPr>
        <w:pStyle w:val="ListParagraph"/>
        <w:numPr>
          <w:ilvl w:val="0"/>
          <w:numId w:val="41"/>
        </w:numPr>
        <w:jc w:val="both"/>
        <w:rPr>
          <w:rFonts w:ascii="Times New Roman" w:hAnsi="Times New Roman"/>
          <w:lang w:eastAsia="zh-CN"/>
        </w:rPr>
      </w:pPr>
      <w:r w:rsidRPr="00FB0F6E">
        <w:rPr>
          <w:rFonts w:ascii="Times New Roman" w:eastAsiaTheme="minorEastAsia" w:hAnsi="Times New Roman"/>
          <w:lang w:eastAsia="zh-CN"/>
        </w:rPr>
        <w:t>Option 2: two separate DCIs are used to schedule multi-panel transmission</w:t>
      </w:r>
    </w:p>
    <w:p w14:paraId="50E1D6F3" w14:textId="77777777" w:rsidR="00C373E4" w:rsidRDefault="00D52D27" w:rsidP="00AC7949">
      <w:pPr>
        <w:ind w:firstLine="284"/>
        <w:jc w:val="both"/>
        <w:rPr>
          <w:sz w:val="22"/>
          <w:szCs w:val="22"/>
          <w:lang w:val="en-US" w:eastAsia="zh-CN"/>
        </w:rPr>
      </w:pPr>
      <w:r>
        <w:rPr>
          <w:sz w:val="22"/>
          <w:szCs w:val="22"/>
          <w:lang w:val="en-US" w:eastAsia="zh-CN"/>
        </w:rPr>
        <w:lastRenderedPageBreak/>
        <w:t xml:space="preserve">Compared to option 1, option 2 can be more flexible since the resource allocation can be different in different panels. To support single DCI based multi-panel transmission, the UE can be configured with only 1 SRS resource. Therefore for multi-panel transmission, </w:t>
      </w:r>
      <w:r w:rsidR="00C373E4">
        <w:rPr>
          <w:sz w:val="22"/>
          <w:szCs w:val="22"/>
          <w:lang w:val="en-US" w:eastAsia="zh-CN"/>
        </w:rPr>
        <w:t xml:space="preserve">if two SRS resources are configured, where the antenna port(s) index should be different in different SRS resources, </w:t>
      </w:r>
      <w:r>
        <w:rPr>
          <w:sz w:val="22"/>
          <w:szCs w:val="22"/>
          <w:lang w:val="en-US" w:eastAsia="zh-CN"/>
        </w:rPr>
        <w:t xml:space="preserve">two DCIs should be supported. </w:t>
      </w:r>
    </w:p>
    <w:p w14:paraId="4A9F71C9" w14:textId="2AD8A940" w:rsidR="00D52D27" w:rsidRPr="00C373E4" w:rsidRDefault="00C373E4" w:rsidP="00AC7949">
      <w:pPr>
        <w:ind w:firstLine="284"/>
        <w:jc w:val="both"/>
        <w:rPr>
          <w:b/>
          <w:i/>
          <w:sz w:val="22"/>
          <w:szCs w:val="22"/>
          <w:lang w:val="en-US" w:eastAsia="zh-CN"/>
        </w:rPr>
      </w:pPr>
      <w:r w:rsidRPr="00C373E4">
        <w:rPr>
          <w:b/>
          <w:i/>
          <w:sz w:val="22"/>
          <w:szCs w:val="22"/>
          <w:lang w:val="en-US" w:eastAsia="zh-CN"/>
        </w:rPr>
        <w:t>Proposal 1: The number of antenna ports for each SRS resource in a resource set used for codebook based transmission should be the same.</w:t>
      </w:r>
    </w:p>
    <w:p w14:paraId="684769A1" w14:textId="2216AB16" w:rsidR="00C36AFD" w:rsidRPr="00C36AFD" w:rsidRDefault="00C373E4" w:rsidP="00AC7949">
      <w:pPr>
        <w:ind w:firstLine="284"/>
        <w:jc w:val="both"/>
        <w:rPr>
          <w:b/>
          <w:i/>
          <w:sz w:val="22"/>
          <w:szCs w:val="22"/>
          <w:lang w:val="en-US" w:eastAsia="zh-CN"/>
        </w:rPr>
      </w:pPr>
      <w:r w:rsidRPr="00C373E4">
        <w:rPr>
          <w:b/>
          <w:i/>
          <w:sz w:val="22"/>
          <w:szCs w:val="22"/>
          <w:lang w:val="en-US" w:eastAsia="zh-CN"/>
        </w:rPr>
        <w:t>Proposal 2: The antenna port index in different SRS resources in a resource set used for codebook based transmission should be different.</w:t>
      </w:r>
    </w:p>
    <w:p w14:paraId="07EFD6EA" w14:textId="22293EB4" w:rsidR="00081534" w:rsidRPr="00081534" w:rsidRDefault="00873422" w:rsidP="00873422">
      <w:pPr>
        <w:pStyle w:val="Heading2"/>
        <w:rPr>
          <w:lang w:val="en-US" w:eastAsia="zh-CN"/>
        </w:rPr>
      </w:pPr>
      <w:r>
        <w:rPr>
          <w:lang w:val="en-US" w:eastAsia="zh-CN"/>
        </w:rPr>
        <w:t xml:space="preserve">2.2 </w:t>
      </w:r>
      <w:r w:rsidR="00784FC2">
        <w:rPr>
          <w:lang w:val="en-US" w:eastAsia="zh-CN"/>
        </w:rPr>
        <w:t>Subband</w:t>
      </w:r>
      <w:r w:rsidR="00C373E4">
        <w:rPr>
          <w:lang w:val="en-US" w:eastAsia="zh-CN"/>
        </w:rPr>
        <w:t xml:space="preserve"> Precoding</w:t>
      </w:r>
    </w:p>
    <w:p w14:paraId="687951DB" w14:textId="51FFFC63" w:rsidR="00784FC2" w:rsidRDefault="00784FC2" w:rsidP="005C698C">
      <w:pPr>
        <w:ind w:firstLine="284"/>
        <w:jc w:val="both"/>
        <w:rPr>
          <w:sz w:val="22"/>
          <w:szCs w:val="22"/>
          <w:lang w:val="en-US" w:eastAsia="zh-CN"/>
        </w:rPr>
      </w:pPr>
      <w:r>
        <w:rPr>
          <w:sz w:val="22"/>
          <w:szCs w:val="22"/>
          <w:lang w:val="en-US" w:eastAsia="zh-CN"/>
        </w:rPr>
        <w:t>It has been agreed that when the number of antenna ports is 4, the subband precoding can be used. However,</w:t>
      </w:r>
      <w:r w:rsidR="00154620">
        <w:rPr>
          <w:sz w:val="22"/>
          <w:szCs w:val="22"/>
          <w:lang w:val="en-US" w:eastAsia="zh-CN"/>
        </w:rPr>
        <w:t xml:space="preserve"> the delay spread for beamformed channel </w:t>
      </w:r>
      <w:r>
        <w:rPr>
          <w:sz w:val="22"/>
          <w:szCs w:val="22"/>
          <w:lang w:val="en-US" w:eastAsia="zh-CN"/>
        </w:rPr>
        <w:t>could be</w:t>
      </w:r>
      <w:r w:rsidR="00154620">
        <w:rPr>
          <w:sz w:val="22"/>
          <w:szCs w:val="22"/>
          <w:lang w:val="en-US" w:eastAsia="zh-CN"/>
        </w:rPr>
        <w:t xml:space="preserve"> smaller than that for non-beamformed channel. </w:t>
      </w:r>
      <w:r>
        <w:rPr>
          <w:sz w:val="22"/>
          <w:szCs w:val="22"/>
          <w:lang w:val="en-US" w:eastAsia="zh-CN"/>
        </w:rPr>
        <w:t xml:space="preserve">There may be some performance loss for channel estimation if the PRG is small. Further if the number of PRG is large, the overhead of TPMI could be one issue. </w:t>
      </w:r>
      <w:r w:rsidR="005C698C">
        <w:rPr>
          <w:sz w:val="22"/>
          <w:szCs w:val="22"/>
          <w:lang w:val="en-US" w:eastAsia="zh-CN"/>
        </w:rPr>
        <w:t>Therefore with regard to the subband TPMI indication, the number of PRG should be fixed. In appendix and [2], some system level simulation results are given for subband precoding, it can be observed that the performance gain is not significant if the number of PRG is large. Hence to reduce the control signaling overhead, the number of PRG for subband precoding should be fixed to be 2, and an addition subband TPMI can be indicated in the DCI if the subband precoding is enabled.</w:t>
      </w:r>
    </w:p>
    <w:p w14:paraId="3E394BE7" w14:textId="5CFA5CE7" w:rsidR="005C698C" w:rsidRPr="005C698C" w:rsidRDefault="005C698C" w:rsidP="005C698C">
      <w:pPr>
        <w:ind w:firstLine="284"/>
        <w:jc w:val="both"/>
        <w:rPr>
          <w:sz w:val="22"/>
          <w:szCs w:val="22"/>
          <w:lang w:val="en-US" w:eastAsia="zh-CN"/>
        </w:rPr>
      </w:pPr>
      <w:r>
        <w:rPr>
          <w:sz w:val="22"/>
          <w:szCs w:val="22"/>
          <w:lang w:val="en-US" w:eastAsia="zh-CN"/>
        </w:rPr>
        <w:t>Further to be more flexible the wideband and subband precoder can be dynamically switched. If the MU-MIMO dimension is high, the wideband precoder may be better so that it is easier to distinguish the reference signal for different users and can increase the channel estimation performance; otherwise the subband precoder can be scheduled so that the frequency selective gain can be achieved. So if the value of this additional subband TPMI is invalid, the wideband precoding should be applied.</w:t>
      </w:r>
    </w:p>
    <w:p w14:paraId="74CF9DFB" w14:textId="77777777" w:rsidR="005C698C" w:rsidRPr="00E57A8F" w:rsidRDefault="005C698C" w:rsidP="005C698C">
      <w:pPr>
        <w:ind w:firstLine="284"/>
        <w:jc w:val="both"/>
        <w:rPr>
          <w:b/>
          <w:i/>
          <w:sz w:val="22"/>
          <w:szCs w:val="22"/>
          <w:lang w:val="en-US" w:eastAsia="zh-CN"/>
        </w:rPr>
      </w:pPr>
      <w:r w:rsidRPr="00E57A8F">
        <w:rPr>
          <w:b/>
          <w:i/>
          <w:sz w:val="22"/>
          <w:szCs w:val="22"/>
          <w:lang w:val="en-US" w:eastAsia="zh-CN"/>
        </w:rPr>
        <w:t>Proposal 3: For codebook based uplink transmission, the number of PRG should be up to 2.</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2534A9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16273088" w14:textId="77777777" w:rsidR="00E57A8F" w:rsidRPr="00C373E4" w:rsidRDefault="00E57A8F" w:rsidP="00E57A8F">
      <w:pPr>
        <w:ind w:firstLine="284"/>
        <w:jc w:val="both"/>
        <w:rPr>
          <w:b/>
          <w:i/>
          <w:sz w:val="22"/>
          <w:szCs w:val="22"/>
          <w:lang w:val="en-US" w:eastAsia="zh-CN"/>
        </w:rPr>
      </w:pPr>
      <w:r w:rsidRPr="00C373E4">
        <w:rPr>
          <w:b/>
          <w:i/>
          <w:sz w:val="22"/>
          <w:szCs w:val="22"/>
          <w:lang w:val="en-US" w:eastAsia="zh-CN"/>
        </w:rPr>
        <w:t>Proposal 1: The number of antenna ports for each SRS resource in a resource set used for codebook based transmission should be the same.</w:t>
      </w:r>
    </w:p>
    <w:p w14:paraId="787D9E5B" w14:textId="77777777" w:rsidR="00E57A8F" w:rsidRPr="00C36AFD" w:rsidRDefault="00E57A8F" w:rsidP="00E57A8F">
      <w:pPr>
        <w:ind w:firstLine="284"/>
        <w:jc w:val="both"/>
        <w:rPr>
          <w:b/>
          <w:i/>
          <w:sz w:val="22"/>
          <w:szCs w:val="22"/>
          <w:lang w:val="en-US" w:eastAsia="zh-CN"/>
        </w:rPr>
      </w:pPr>
      <w:r w:rsidRPr="00C373E4">
        <w:rPr>
          <w:b/>
          <w:i/>
          <w:sz w:val="22"/>
          <w:szCs w:val="22"/>
          <w:lang w:val="en-US" w:eastAsia="zh-CN"/>
        </w:rPr>
        <w:t>Proposal 2: The antenna port index in different SRS resources in a resource set used for codebook based transmission should be different.</w:t>
      </w:r>
    </w:p>
    <w:p w14:paraId="4017A8B2" w14:textId="77777777" w:rsidR="00E57A8F" w:rsidRPr="00E57A8F" w:rsidRDefault="00E57A8F" w:rsidP="00E57A8F">
      <w:pPr>
        <w:ind w:firstLine="284"/>
        <w:jc w:val="both"/>
        <w:rPr>
          <w:b/>
          <w:i/>
          <w:sz w:val="22"/>
          <w:szCs w:val="22"/>
          <w:lang w:val="en-US" w:eastAsia="zh-CN"/>
        </w:rPr>
      </w:pPr>
      <w:r w:rsidRPr="00E57A8F">
        <w:rPr>
          <w:b/>
          <w:i/>
          <w:sz w:val="22"/>
          <w:szCs w:val="22"/>
          <w:lang w:val="en-US" w:eastAsia="zh-CN"/>
        </w:rPr>
        <w:t>Proposal 3: For codebook based uplink transmission, the number of PRG should be up to 2.</w:t>
      </w:r>
    </w:p>
    <w:p w14:paraId="2CA91243" w14:textId="00E0094C" w:rsidR="00A27F7C" w:rsidRPr="00A27F7C" w:rsidRDefault="00A27F7C" w:rsidP="00A27F7C">
      <w:pPr>
        <w:pStyle w:val="Heading1"/>
        <w:numPr>
          <w:ilvl w:val="0"/>
          <w:numId w:val="5"/>
        </w:numPr>
        <w:pBdr>
          <w:top w:val="single" w:sz="12" w:space="4" w:color="auto"/>
        </w:pBdr>
        <w:rPr>
          <w:rFonts w:cs="Arial"/>
          <w:lang w:val="en-US"/>
        </w:rPr>
      </w:pPr>
      <w:r w:rsidRPr="00A27F7C">
        <w:rPr>
          <w:rFonts w:cs="Arial" w:hint="eastAsia"/>
          <w:lang w:val="en-US"/>
        </w:rPr>
        <w:t>T</w:t>
      </w:r>
      <w:r w:rsidRPr="00A27F7C">
        <w:rPr>
          <w:rFonts w:cs="Arial"/>
          <w:lang w:val="en-US"/>
        </w:rPr>
        <w:t>ext Proposal</w:t>
      </w:r>
    </w:p>
    <w:p w14:paraId="0BCAEB8E" w14:textId="3079E8DF" w:rsidR="00E57A8F" w:rsidRDefault="00E57A8F" w:rsidP="00385141">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following text proposals are </w:t>
      </w:r>
      <w:r w:rsidR="00FB0F6E">
        <w:rPr>
          <w:sz w:val="22"/>
          <w:szCs w:val="22"/>
          <w:lang w:val="en-US" w:eastAsia="zh-CN"/>
        </w:rPr>
        <w:t xml:space="preserve">achieved </w:t>
      </w:r>
      <w:r>
        <w:rPr>
          <w:sz w:val="22"/>
          <w:szCs w:val="22"/>
          <w:lang w:val="en-US" w:eastAsia="zh-CN"/>
        </w:rPr>
        <w:t>based on proposals above.</w:t>
      </w:r>
    </w:p>
    <w:p w14:paraId="3509534A" w14:textId="77777777" w:rsidR="00E57A8F" w:rsidRDefault="00E57A8F" w:rsidP="00E57A8F">
      <w:pPr>
        <w:ind w:firstLine="284"/>
        <w:jc w:val="both"/>
        <w:rPr>
          <w:sz w:val="22"/>
          <w:szCs w:val="22"/>
          <w:lang w:val="en-US" w:eastAsia="zh-CN"/>
        </w:rPr>
      </w:pPr>
      <w:r>
        <w:rPr>
          <w:sz w:val="22"/>
          <w:szCs w:val="22"/>
          <w:lang w:val="en-US" w:eastAsia="zh-CN"/>
        </w:rPr>
        <w:t>=============== Text Proposal in 38.214 ======================</w:t>
      </w:r>
    </w:p>
    <w:p w14:paraId="41CD1D91" w14:textId="77777777" w:rsidR="00E57A8F" w:rsidRPr="0048482F" w:rsidRDefault="00E57A8F" w:rsidP="00E57A8F">
      <w:pPr>
        <w:pStyle w:val="Heading4"/>
        <w:rPr>
          <w:color w:val="000000"/>
        </w:rPr>
      </w:pPr>
      <w:bookmarkStart w:id="0" w:name="_Toc500966106"/>
      <w:r w:rsidRPr="0048482F">
        <w:rPr>
          <w:color w:val="000000"/>
        </w:rPr>
        <w:t>6.1.1.1</w:t>
      </w:r>
      <w:r w:rsidRPr="0048482F">
        <w:rPr>
          <w:color w:val="000000"/>
        </w:rPr>
        <w:tab/>
        <w:t>Codebook based UL transmission</w:t>
      </w:r>
      <w:bookmarkEnd w:id="0"/>
    </w:p>
    <w:p w14:paraId="74F41BCA" w14:textId="77777777" w:rsidR="00E57A8F" w:rsidRPr="0048482F" w:rsidRDefault="00E57A8F" w:rsidP="00E57A8F">
      <w:pPr>
        <w:rPr>
          <w:color w:val="000000"/>
        </w:rPr>
      </w:pPr>
      <w:r w:rsidRPr="0048482F">
        <w:rPr>
          <w:color w:val="000000"/>
        </w:rPr>
        <w:t xml:space="preserve">For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 or if a single SRS resource is configured TPMI is used to indicate the </w:t>
      </w:r>
      <w:r w:rsidRPr="0048482F">
        <w:rPr>
          <w:color w:val="000000"/>
        </w:rPr>
        <w:lastRenderedPageBreak/>
        <w:t xml:space="preserve">preferred precoder over the SRS ports. The transmission precoder is selected from the uplink codebook, as defined in </w:t>
      </w:r>
      <w:proofErr w:type="spellStart"/>
      <w:r w:rsidRPr="0048482F">
        <w:rPr>
          <w:color w:val="000000"/>
        </w:rPr>
        <w:t>Subclause</w:t>
      </w:r>
      <w:proofErr w:type="spellEnd"/>
      <w:r w:rsidRPr="0048482F">
        <w:rPr>
          <w:color w:val="000000"/>
        </w:rPr>
        <w:t xml:space="preserve"> 6.3.1.5 of [4, TS 38.211].</w:t>
      </w:r>
    </w:p>
    <w:p w14:paraId="53DB0599" w14:textId="77777777" w:rsidR="00E57A8F" w:rsidRPr="0048482F" w:rsidRDefault="00E57A8F" w:rsidP="00E57A8F">
      <w:pPr>
        <w:rPr>
          <w:color w:val="000000"/>
        </w:rPr>
      </w:pPr>
      <w:r w:rsidRPr="0048482F">
        <w:rPr>
          <w:color w:val="000000"/>
        </w:rPr>
        <w:t xml:space="preserve">For codebook based transmission, the UE determines its codebook subsets based on TPMI and upon the reception of higher layer parameter </w:t>
      </w:r>
      <w:proofErr w:type="spellStart"/>
      <w:r w:rsidRPr="0048482F">
        <w:rPr>
          <w:i/>
          <w:color w:val="000000"/>
        </w:rPr>
        <w:t>ULCodebookSubset</w:t>
      </w:r>
      <w:proofErr w:type="spellEnd"/>
      <w:r w:rsidRPr="0048482F">
        <w:rPr>
          <w:color w:val="000000"/>
        </w:rPr>
        <w:t xml:space="preserve"> which may be configured with ‘</w:t>
      </w:r>
      <w:proofErr w:type="spellStart"/>
      <w:r w:rsidRPr="0048482F">
        <w:rPr>
          <w:color w:val="000000"/>
        </w:rPr>
        <w:t>Full+Partial+Non-Coherent</w:t>
      </w:r>
      <w:proofErr w:type="spellEnd"/>
      <w:r w:rsidRPr="0048482F">
        <w:rPr>
          <w:color w:val="000000"/>
        </w:rPr>
        <w:t>’, or ‘</w:t>
      </w:r>
      <w:proofErr w:type="spellStart"/>
      <w:r w:rsidRPr="0048482F">
        <w:rPr>
          <w:color w:val="000000"/>
        </w:rPr>
        <w:t>Partial+Non-Coherent</w:t>
      </w:r>
      <w:proofErr w:type="spellEnd"/>
      <w:r w:rsidRPr="0048482F">
        <w:rPr>
          <w:color w:val="000000"/>
        </w:rPr>
        <w:t xml:space="preserve">’, or ‘Non-Coherent’ depending on the UE capability. The maximum transmission rank may be configured by the higher parameter </w:t>
      </w:r>
      <w:proofErr w:type="spellStart"/>
      <w:r w:rsidRPr="0048482F">
        <w:rPr>
          <w:i/>
          <w:color w:val="000000"/>
        </w:rPr>
        <w:t>ULmaxRank</w:t>
      </w:r>
      <w:proofErr w:type="spellEnd"/>
      <w:r w:rsidRPr="0048482F">
        <w:rPr>
          <w:i/>
          <w:color w:val="000000"/>
        </w:rPr>
        <w:t>.</w:t>
      </w:r>
    </w:p>
    <w:p w14:paraId="1472AA1B" w14:textId="77777777" w:rsidR="00E57A8F" w:rsidRPr="0048482F" w:rsidRDefault="00E57A8F" w:rsidP="00E57A8F">
      <w:pPr>
        <w:rPr>
          <w:color w:val="000000"/>
        </w:rPr>
      </w:pPr>
      <w:r w:rsidRPr="0048482F">
        <w:rPr>
          <w:color w:val="000000"/>
        </w:rPr>
        <w:t>A UE reporting its UE capability of ‘</w:t>
      </w:r>
      <w:proofErr w:type="spellStart"/>
      <w:r w:rsidRPr="0048482F">
        <w:rPr>
          <w:color w:val="000000"/>
        </w:rPr>
        <w:t>Partial+Non-Coherent</w:t>
      </w:r>
      <w:proofErr w:type="spellEnd"/>
      <w:r w:rsidRPr="0048482F">
        <w:rPr>
          <w:color w:val="000000"/>
        </w:rPr>
        <w:t xml:space="preserve">’ transmission shall not expect to be configured by </w:t>
      </w:r>
      <w:proofErr w:type="spellStart"/>
      <w:r w:rsidRPr="0048482F">
        <w:rPr>
          <w:color w:val="000000"/>
        </w:rPr>
        <w:t>ULCodebookSubset</w:t>
      </w:r>
      <w:proofErr w:type="spellEnd"/>
      <w:r w:rsidRPr="0048482F">
        <w:rPr>
          <w:color w:val="000000"/>
        </w:rPr>
        <w:t xml:space="preserve"> with ‘</w:t>
      </w:r>
      <w:proofErr w:type="spellStart"/>
      <w:r w:rsidRPr="0048482F">
        <w:rPr>
          <w:color w:val="000000"/>
        </w:rPr>
        <w:t>Full+Partial+Non-Coherent</w:t>
      </w:r>
      <w:proofErr w:type="spellEnd"/>
      <w:r w:rsidRPr="0048482F">
        <w:rPr>
          <w:color w:val="000000"/>
        </w:rPr>
        <w:t xml:space="preserve">’. </w:t>
      </w:r>
    </w:p>
    <w:p w14:paraId="0DF49A64" w14:textId="77777777" w:rsidR="00E57A8F" w:rsidRPr="0048482F" w:rsidRDefault="00E57A8F" w:rsidP="00E57A8F">
      <w:pPr>
        <w:rPr>
          <w:color w:val="000000"/>
        </w:rPr>
      </w:pPr>
      <w:r w:rsidRPr="0048482F">
        <w:rPr>
          <w:color w:val="000000"/>
        </w:rPr>
        <w:t xml:space="preserve">A UE reporting its UE capability of ‘Non-Coherent’ transmission shall not expect to be configured by </w:t>
      </w:r>
      <w:proofErr w:type="spellStart"/>
      <w:r w:rsidRPr="0048482F">
        <w:rPr>
          <w:color w:val="000000"/>
        </w:rPr>
        <w:t>ULCodebookSubset</w:t>
      </w:r>
      <w:proofErr w:type="spellEnd"/>
      <w:r w:rsidRPr="0048482F">
        <w:rPr>
          <w:color w:val="000000"/>
        </w:rPr>
        <w:t xml:space="preserve"> with ‘</w:t>
      </w:r>
      <w:proofErr w:type="spellStart"/>
      <w:r w:rsidRPr="0048482F">
        <w:rPr>
          <w:color w:val="000000"/>
        </w:rPr>
        <w:t>Full+Partial+Non-Coherent</w:t>
      </w:r>
      <w:proofErr w:type="spellEnd"/>
      <w:r w:rsidRPr="0048482F">
        <w:rPr>
          <w:color w:val="000000"/>
        </w:rPr>
        <w:t xml:space="preserve">’ or with </w:t>
      </w:r>
      <w:proofErr w:type="spellStart"/>
      <w:r w:rsidRPr="0048482F">
        <w:rPr>
          <w:strike/>
          <w:color w:val="000000"/>
        </w:rPr>
        <w:t>Full+</w:t>
      </w:r>
      <w:r w:rsidRPr="0048482F">
        <w:rPr>
          <w:color w:val="000000"/>
        </w:rPr>
        <w:t>Partial+Non-Coherent</w:t>
      </w:r>
      <w:proofErr w:type="spellEnd"/>
      <w:r w:rsidRPr="0048482F">
        <w:rPr>
          <w:color w:val="000000"/>
        </w:rPr>
        <w:t>’.</w:t>
      </w:r>
    </w:p>
    <w:p w14:paraId="654B041A" w14:textId="77777777" w:rsidR="00FB0F6E" w:rsidRDefault="00E57A8F" w:rsidP="00FB0F6E">
      <w:pPr>
        <w:rPr>
          <w:ins w:id="1" w:author="Zhang, Yushu" w:date="2018-01-08T14:05:00Z"/>
          <w:color w:val="000000"/>
        </w:rPr>
      </w:pPr>
      <w:r w:rsidRPr="0048482F">
        <w:rPr>
          <w:color w:val="000000"/>
        </w:rPr>
        <w:t xml:space="preserve">For codebook based transmission, the UE may be configured with a single SRS resource set and only one SRS resource can be indicated based on the SRI from within the SRS resource set. The maximum number of configured SRS resources </w:t>
      </w:r>
      <w:r w:rsidRPr="0048482F">
        <w:rPr>
          <w:color w:val="000000"/>
          <w:lang w:val="en-US"/>
        </w:rPr>
        <w:t xml:space="preserve">for codebook based transmission </w:t>
      </w:r>
      <w:r w:rsidRPr="0048482F">
        <w:rPr>
          <w:color w:val="000000"/>
        </w:rPr>
        <w:t xml:space="preserve">is 2. </w:t>
      </w:r>
      <w:ins w:id="2" w:author="Zhang, Yushu" w:date="2018-01-08T14:05:00Z">
        <w:r w:rsidR="00FB0F6E">
          <w:rPr>
            <w:color w:val="000000"/>
          </w:rPr>
          <w:t xml:space="preserve">The number of antenna ports for each SRS resource should be the same. The antenna port </w:t>
        </w:r>
        <w:proofErr w:type="gramStart"/>
        <w:r w:rsidR="00FB0F6E">
          <w:rPr>
            <w:color w:val="000000"/>
          </w:rPr>
          <w:t>index(</w:t>
        </w:r>
        <w:proofErr w:type="spellStart"/>
        <w:proofErr w:type="gramEnd"/>
        <w:r w:rsidR="00FB0F6E">
          <w:rPr>
            <w:color w:val="000000"/>
          </w:rPr>
          <w:t>es</w:t>
        </w:r>
        <w:proofErr w:type="spellEnd"/>
        <w:r w:rsidR="00FB0F6E">
          <w:rPr>
            <w:color w:val="000000"/>
          </w:rPr>
          <w:t>) in different SRS resource should be different.</w:t>
        </w:r>
      </w:ins>
    </w:p>
    <w:p w14:paraId="09E93516" w14:textId="02EAE2E3" w:rsidR="00FB0F6E" w:rsidRPr="00FB0F6E" w:rsidRDefault="00FB0F6E" w:rsidP="00FB0F6E">
      <w:pPr>
        <w:rPr>
          <w:ins w:id="3" w:author="Zhang, Yushu" w:date="2018-01-08T14:05:00Z"/>
          <w:color w:val="000000"/>
          <w:lang w:val="en-AU"/>
        </w:rPr>
      </w:pPr>
      <w:ins w:id="4" w:author="Zhang, Yushu" w:date="2018-01-08T14:05:00Z">
        <w:r>
          <w:rPr>
            <w:color w:val="000000"/>
          </w:rPr>
          <w:t>When transform precoding is enabled, the number of PRG</w:t>
        </w:r>
      </w:ins>
      <w:r w:rsidR="00444B2A">
        <w:rPr>
          <w:color w:val="000000"/>
        </w:rPr>
        <w:t>(s)</w:t>
      </w:r>
      <w:ins w:id="5" w:author="Zhang, Yushu" w:date="2018-01-08T14:05:00Z">
        <w:r>
          <w:rPr>
            <w:color w:val="000000"/>
          </w:rPr>
          <w:t xml:space="preserve"> is 1. When transform precoding is disabled, for 1 and 2 antenna ports, the number of PRG</w:t>
        </w:r>
      </w:ins>
      <w:r w:rsidR="00444B2A">
        <w:rPr>
          <w:color w:val="000000"/>
        </w:rPr>
        <w:t>(s)</w:t>
      </w:r>
      <w:ins w:id="6" w:author="Zhang, Yushu" w:date="2018-01-08T14:05:00Z">
        <w:r>
          <w:rPr>
            <w:color w:val="000000"/>
          </w:rPr>
          <w:t xml:space="preserve"> is 1; for 4 antenna ports, the number of PRG</w:t>
        </w:r>
      </w:ins>
      <w:r w:rsidR="00444B2A">
        <w:rPr>
          <w:color w:val="000000"/>
        </w:rPr>
        <w:t>(s)</w:t>
      </w:r>
      <w:ins w:id="7" w:author="Zhang, Yushu" w:date="2018-01-08T14:05:00Z">
        <w:r>
          <w:rPr>
            <w:color w:val="000000"/>
          </w:rPr>
          <w:t xml:space="preserve"> is up to 2.</w:t>
        </w:r>
      </w:ins>
    </w:p>
    <w:p w14:paraId="06486420" w14:textId="52A64616" w:rsidR="00E57A8F" w:rsidRPr="00FB0F6E" w:rsidDel="00FB0F6E" w:rsidRDefault="00E57A8F" w:rsidP="00FB0F6E">
      <w:pPr>
        <w:rPr>
          <w:del w:id="8" w:author="Zhang, Yushu" w:date="2018-01-08T14:05:00Z"/>
          <w:color w:val="000000"/>
          <w:lang w:val="en-AU"/>
        </w:rPr>
      </w:pPr>
    </w:p>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9257EB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DA6759">
        <w:rPr>
          <w:sz w:val="22"/>
          <w:szCs w:val="22"/>
          <w:lang w:val="en-US" w:eastAsia="zh-CN"/>
        </w:rPr>
        <w:t>#91</w:t>
      </w:r>
    </w:p>
    <w:p w14:paraId="2B729D44" w14:textId="7A0E70B7" w:rsidR="00FB0F6E" w:rsidRDefault="00FB0F6E" w:rsidP="00FB0F6E">
      <w:pPr>
        <w:numPr>
          <w:ilvl w:val="0"/>
          <w:numId w:val="2"/>
        </w:numPr>
        <w:rPr>
          <w:sz w:val="22"/>
          <w:szCs w:val="22"/>
          <w:lang w:val="en-US" w:eastAsia="zh-CN"/>
        </w:rPr>
      </w:pPr>
      <w:r>
        <w:rPr>
          <w:sz w:val="22"/>
          <w:szCs w:val="22"/>
          <w:lang w:val="en-US" w:eastAsia="zh-CN"/>
        </w:rPr>
        <w:t>R1-18</w:t>
      </w:r>
      <w:r w:rsidR="00606FCB">
        <w:rPr>
          <w:sz w:val="22"/>
          <w:szCs w:val="22"/>
          <w:lang w:val="en-US" w:eastAsia="zh-CN"/>
        </w:rPr>
        <w:t>00307</w:t>
      </w:r>
      <w:bookmarkStart w:id="9" w:name="_GoBack"/>
      <w:bookmarkEnd w:id="9"/>
      <w:r>
        <w:rPr>
          <w:sz w:val="22"/>
          <w:szCs w:val="22"/>
          <w:lang w:val="en-US" w:eastAsia="zh-CN"/>
        </w:rPr>
        <w:t xml:space="preserve">. </w:t>
      </w:r>
      <w:r w:rsidRPr="00FB0F6E">
        <w:rPr>
          <w:sz w:val="22"/>
          <w:szCs w:val="22"/>
          <w:lang w:val="en-US" w:eastAsia="zh-CN"/>
        </w:rPr>
        <w:t xml:space="preserve">On </w:t>
      </w:r>
      <w:r>
        <w:rPr>
          <w:sz w:val="22"/>
          <w:szCs w:val="22"/>
          <w:lang w:val="en-US" w:eastAsia="zh-CN"/>
        </w:rPr>
        <w:t>Non-</w:t>
      </w:r>
      <w:r w:rsidRPr="00FB0F6E">
        <w:rPr>
          <w:sz w:val="22"/>
          <w:szCs w:val="22"/>
          <w:lang w:val="en-US" w:eastAsia="zh-CN"/>
        </w:rPr>
        <w:t>Codebook Based UL Transmission</w:t>
      </w:r>
      <w:r>
        <w:rPr>
          <w:sz w:val="22"/>
          <w:szCs w:val="22"/>
          <w:lang w:val="en-US" w:eastAsia="zh-CN"/>
        </w:rPr>
        <w:t>. Intel</w:t>
      </w:r>
    </w:p>
    <w:p w14:paraId="5E8124F7" w14:textId="5C6FC15B" w:rsidR="00E312CB" w:rsidRDefault="0099408C" w:rsidP="0099408C">
      <w:pPr>
        <w:pStyle w:val="Heading1"/>
        <w:pBdr>
          <w:top w:val="single" w:sz="12" w:space="4" w:color="auto"/>
        </w:pBdr>
        <w:ind w:left="0" w:firstLine="0"/>
        <w:rPr>
          <w:rFonts w:cs="Arial"/>
          <w:lang w:val="en-US"/>
        </w:rPr>
      </w:pPr>
      <w:r>
        <w:rPr>
          <w:rFonts w:cs="Arial" w:hint="eastAsia"/>
          <w:lang w:val="en-US"/>
        </w:rPr>
        <w:t>Appendix</w:t>
      </w:r>
      <w:r w:rsidRPr="0099408C">
        <w:rPr>
          <w:rFonts w:cs="Arial" w:hint="eastAsia"/>
          <w:lang w:val="en-US"/>
        </w:rPr>
        <w:t xml:space="preserve"> </w:t>
      </w:r>
      <w:r w:rsidRPr="0099408C">
        <w:rPr>
          <w:rFonts w:cs="Arial"/>
          <w:lang w:val="en-US"/>
        </w:rPr>
        <w:t>–</w:t>
      </w:r>
      <w:r w:rsidRPr="0099408C">
        <w:rPr>
          <w:rFonts w:cs="Arial" w:hint="eastAsia"/>
          <w:lang w:val="en-US"/>
        </w:rPr>
        <w:t xml:space="preserve"> Simulation </w:t>
      </w:r>
      <w:r w:rsidR="00FB0F6E">
        <w:rPr>
          <w:rFonts w:cs="Arial"/>
          <w:lang w:val="en-US"/>
        </w:rPr>
        <w:t>Results for Subband Precoding</w:t>
      </w:r>
    </w:p>
    <w:p w14:paraId="76DB8E85" w14:textId="03C5FAE6" w:rsidR="00FB0F6E" w:rsidRPr="00C72FD0" w:rsidRDefault="00C72FD0" w:rsidP="00C72FD0">
      <w:pPr>
        <w:jc w:val="center"/>
        <w:rPr>
          <w:b/>
          <w:lang w:val="en-US" w:eastAsia="zh-CN"/>
        </w:rPr>
      </w:pPr>
      <w:r w:rsidRPr="00C72FD0">
        <w:rPr>
          <w:rFonts w:hint="eastAsia"/>
          <w:b/>
          <w:lang w:val="en-US" w:eastAsia="zh-CN"/>
        </w:rPr>
        <w:t xml:space="preserve">Table </w:t>
      </w:r>
      <w:r w:rsidRPr="00C72FD0">
        <w:rPr>
          <w:b/>
          <w:lang w:val="en-US" w:eastAsia="zh-CN"/>
        </w:rPr>
        <w:t>A-1: System Level Simulation Results</w:t>
      </w:r>
    </w:p>
    <w:tbl>
      <w:tblPr>
        <w:tblStyle w:val="PlainTable2"/>
        <w:tblW w:w="6686" w:type="dxa"/>
        <w:jc w:val="center"/>
        <w:tblLook w:val="04A0" w:firstRow="1" w:lastRow="0" w:firstColumn="1" w:lastColumn="0" w:noHBand="0" w:noVBand="1"/>
      </w:tblPr>
      <w:tblGrid>
        <w:gridCol w:w="1826"/>
        <w:gridCol w:w="1130"/>
        <w:gridCol w:w="1310"/>
        <w:gridCol w:w="1121"/>
        <w:gridCol w:w="1299"/>
      </w:tblGrid>
      <w:tr w:rsidR="00C72FD0" w:rsidRPr="00C72FD0" w14:paraId="54EA858E" w14:textId="77777777" w:rsidTr="00C72FD0">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24CCB8DF" w14:textId="77777777" w:rsidR="00C72FD0" w:rsidRPr="00C72FD0" w:rsidRDefault="00C72FD0" w:rsidP="00C72FD0">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Number of PRG</w:t>
            </w:r>
          </w:p>
        </w:tc>
        <w:tc>
          <w:tcPr>
            <w:tcW w:w="2440" w:type="dxa"/>
            <w:gridSpan w:val="2"/>
            <w:noWrap/>
            <w:hideMark/>
          </w:tcPr>
          <w:p w14:paraId="5CDCFF07" w14:textId="77777777" w:rsidR="00C72FD0" w:rsidRPr="00C72FD0" w:rsidRDefault="00C72FD0" w:rsidP="00C72FD0">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5% CDF SE [b/s/Hz]</w:t>
            </w:r>
          </w:p>
        </w:tc>
        <w:tc>
          <w:tcPr>
            <w:tcW w:w="2420" w:type="dxa"/>
            <w:gridSpan w:val="2"/>
            <w:noWrap/>
            <w:hideMark/>
          </w:tcPr>
          <w:p w14:paraId="25309C57" w14:textId="77777777" w:rsidR="00C72FD0" w:rsidRPr="00C72FD0" w:rsidRDefault="00C72FD0" w:rsidP="00C72FD0">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Average [b/s/Hz]</w:t>
            </w:r>
          </w:p>
        </w:tc>
      </w:tr>
      <w:tr w:rsidR="00C72FD0" w:rsidRPr="00C72FD0" w14:paraId="72CE95FD" w14:textId="77777777" w:rsidTr="00C72FD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44126B28" w14:textId="77777777" w:rsidR="00C72FD0" w:rsidRPr="00C72FD0" w:rsidRDefault="00C72FD0" w:rsidP="00C72FD0">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w:t>
            </w:r>
          </w:p>
        </w:tc>
        <w:tc>
          <w:tcPr>
            <w:tcW w:w="1130" w:type="dxa"/>
            <w:noWrap/>
            <w:hideMark/>
          </w:tcPr>
          <w:p w14:paraId="11A5BDD1" w14:textId="77777777" w:rsidR="00C72FD0" w:rsidRPr="00C72FD0" w:rsidRDefault="00C72FD0" w:rsidP="00C72FD0">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0.0966</w:t>
            </w:r>
          </w:p>
        </w:tc>
        <w:tc>
          <w:tcPr>
            <w:tcW w:w="1310" w:type="dxa"/>
            <w:noWrap/>
            <w:hideMark/>
          </w:tcPr>
          <w:p w14:paraId="1E6FBE10" w14:textId="77777777" w:rsidR="00C72FD0" w:rsidRPr="00C72FD0" w:rsidRDefault="00C72FD0" w:rsidP="00C72FD0">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100.00%</w:t>
            </w:r>
          </w:p>
        </w:tc>
        <w:tc>
          <w:tcPr>
            <w:tcW w:w="1121" w:type="dxa"/>
            <w:noWrap/>
            <w:hideMark/>
          </w:tcPr>
          <w:p w14:paraId="3FDB3C10" w14:textId="77777777" w:rsidR="00C72FD0" w:rsidRPr="00C72FD0" w:rsidRDefault="00C72FD0" w:rsidP="00C72FD0">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0.1341</w:t>
            </w:r>
          </w:p>
        </w:tc>
        <w:tc>
          <w:tcPr>
            <w:tcW w:w="1299" w:type="dxa"/>
            <w:noWrap/>
            <w:hideMark/>
          </w:tcPr>
          <w:p w14:paraId="589BF9E4" w14:textId="77777777" w:rsidR="00C72FD0" w:rsidRPr="00C72FD0" w:rsidRDefault="00C72FD0" w:rsidP="00C72FD0">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100.00%</w:t>
            </w:r>
          </w:p>
        </w:tc>
      </w:tr>
      <w:tr w:rsidR="00C72FD0" w:rsidRPr="00C72FD0" w14:paraId="5E9EE488" w14:textId="77777777" w:rsidTr="00C72FD0">
        <w:trPr>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7A5CF5E8" w14:textId="77777777" w:rsidR="00C72FD0" w:rsidRPr="00C72FD0" w:rsidRDefault="00C72FD0" w:rsidP="00C72FD0">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2</w:t>
            </w:r>
          </w:p>
        </w:tc>
        <w:tc>
          <w:tcPr>
            <w:tcW w:w="1130" w:type="dxa"/>
            <w:noWrap/>
            <w:hideMark/>
          </w:tcPr>
          <w:p w14:paraId="5B52ADCE" w14:textId="77777777" w:rsidR="00C72FD0" w:rsidRPr="00C72FD0" w:rsidRDefault="00C72FD0" w:rsidP="00C72FD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0.1109</w:t>
            </w:r>
          </w:p>
        </w:tc>
        <w:tc>
          <w:tcPr>
            <w:tcW w:w="1310" w:type="dxa"/>
            <w:noWrap/>
            <w:hideMark/>
          </w:tcPr>
          <w:p w14:paraId="0DE2A0AA" w14:textId="77777777" w:rsidR="00C72FD0" w:rsidRPr="00C72FD0" w:rsidRDefault="00C72FD0" w:rsidP="00C72FD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114.80%</w:t>
            </w:r>
          </w:p>
        </w:tc>
        <w:tc>
          <w:tcPr>
            <w:tcW w:w="1121" w:type="dxa"/>
            <w:noWrap/>
            <w:hideMark/>
          </w:tcPr>
          <w:p w14:paraId="4A3A51A7" w14:textId="77777777" w:rsidR="00C72FD0" w:rsidRPr="00C72FD0" w:rsidRDefault="00C72FD0" w:rsidP="00C72FD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0.1531</w:t>
            </w:r>
          </w:p>
        </w:tc>
        <w:tc>
          <w:tcPr>
            <w:tcW w:w="1299" w:type="dxa"/>
            <w:noWrap/>
            <w:hideMark/>
          </w:tcPr>
          <w:p w14:paraId="3A5B60D7" w14:textId="77777777" w:rsidR="00C72FD0" w:rsidRPr="00C72FD0" w:rsidRDefault="00C72FD0" w:rsidP="00C72FD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114.17%</w:t>
            </w:r>
          </w:p>
        </w:tc>
      </w:tr>
      <w:tr w:rsidR="00C72FD0" w:rsidRPr="00C72FD0" w14:paraId="0924ED3C" w14:textId="77777777" w:rsidTr="00C72FD0">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10B219BD" w14:textId="77777777" w:rsidR="00C72FD0" w:rsidRPr="00C72FD0" w:rsidRDefault="00C72FD0" w:rsidP="00C72FD0">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5</w:t>
            </w:r>
          </w:p>
        </w:tc>
        <w:tc>
          <w:tcPr>
            <w:tcW w:w="1130" w:type="dxa"/>
            <w:noWrap/>
            <w:hideMark/>
          </w:tcPr>
          <w:p w14:paraId="1B922375" w14:textId="77777777" w:rsidR="00C72FD0" w:rsidRPr="00C72FD0" w:rsidRDefault="00C72FD0" w:rsidP="00C72FD0">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0.1202</w:t>
            </w:r>
          </w:p>
        </w:tc>
        <w:tc>
          <w:tcPr>
            <w:tcW w:w="1310" w:type="dxa"/>
            <w:noWrap/>
            <w:hideMark/>
          </w:tcPr>
          <w:p w14:paraId="5066F108" w14:textId="77777777" w:rsidR="00C72FD0" w:rsidRPr="00C72FD0" w:rsidRDefault="00C72FD0" w:rsidP="00C72FD0">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124.43%</w:t>
            </w:r>
          </w:p>
        </w:tc>
        <w:tc>
          <w:tcPr>
            <w:tcW w:w="1121" w:type="dxa"/>
            <w:noWrap/>
            <w:hideMark/>
          </w:tcPr>
          <w:p w14:paraId="18399C38" w14:textId="77777777" w:rsidR="00C72FD0" w:rsidRPr="00C72FD0" w:rsidRDefault="00C72FD0" w:rsidP="00C72FD0">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0.1625</w:t>
            </w:r>
          </w:p>
        </w:tc>
        <w:tc>
          <w:tcPr>
            <w:tcW w:w="1299" w:type="dxa"/>
            <w:noWrap/>
            <w:hideMark/>
          </w:tcPr>
          <w:p w14:paraId="752AE1CA" w14:textId="77777777" w:rsidR="00C72FD0" w:rsidRPr="00C72FD0" w:rsidRDefault="00C72FD0" w:rsidP="00C72FD0">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121.18%</w:t>
            </w:r>
          </w:p>
        </w:tc>
      </w:tr>
      <w:tr w:rsidR="00C72FD0" w:rsidRPr="00C72FD0" w14:paraId="7B712C93" w14:textId="77777777" w:rsidTr="00C72FD0">
        <w:trPr>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68ADCB2B" w14:textId="77777777" w:rsidR="00C72FD0" w:rsidRPr="00C72FD0" w:rsidRDefault="00C72FD0" w:rsidP="00C72FD0">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10</w:t>
            </w:r>
          </w:p>
        </w:tc>
        <w:tc>
          <w:tcPr>
            <w:tcW w:w="1130" w:type="dxa"/>
            <w:noWrap/>
            <w:hideMark/>
          </w:tcPr>
          <w:p w14:paraId="6E582F8C" w14:textId="77777777" w:rsidR="00C72FD0" w:rsidRPr="00C72FD0" w:rsidRDefault="00C72FD0" w:rsidP="00C72FD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0.127</w:t>
            </w:r>
          </w:p>
        </w:tc>
        <w:tc>
          <w:tcPr>
            <w:tcW w:w="1310" w:type="dxa"/>
            <w:noWrap/>
            <w:hideMark/>
          </w:tcPr>
          <w:p w14:paraId="48250286" w14:textId="77777777" w:rsidR="00C72FD0" w:rsidRPr="00C72FD0" w:rsidRDefault="00C72FD0" w:rsidP="00C72FD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131.47%</w:t>
            </w:r>
          </w:p>
        </w:tc>
        <w:tc>
          <w:tcPr>
            <w:tcW w:w="1121" w:type="dxa"/>
            <w:noWrap/>
            <w:hideMark/>
          </w:tcPr>
          <w:p w14:paraId="4EDEA17A" w14:textId="77777777" w:rsidR="00C72FD0" w:rsidRPr="00C72FD0" w:rsidRDefault="00C72FD0" w:rsidP="00C72FD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0.1691</w:t>
            </w:r>
          </w:p>
        </w:tc>
        <w:tc>
          <w:tcPr>
            <w:tcW w:w="1299" w:type="dxa"/>
            <w:noWrap/>
            <w:hideMark/>
          </w:tcPr>
          <w:p w14:paraId="4DE59425" w14:textId="77777777" w:rsidR="00C72FD0" w:rsidRPr="00C72FD0" w:rsidRDefault="00C72FD0" w:rsidP="00C72FD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126.10%</w:t>
            </w:r>
          </w:p>
        </w:tc>
      </w:tr>
    </w:tbl>
    <w:p w14:paraId="63B14860" w14:textId="77777777" w:rsidR="00C72FD0" w:rsidRPr="00FB0F6E" w:rsidRDefault="00C72FD0" w:rsidP="00FB0F6E">
      <w:pPr>
        <w:rPr>
          <w:lang w:val="en-US"/>
        </w:rPr>
      </w:pPr>
    </w:p>
    <w:p w14:paraId="556226E1" w14:textId="3AD6C7D4" w:rsidR="0099408C" w:rsidRPr="00B87143" w:rsidRDefault="00C72FD0" w:rsidP="00B87143">
      <w:pPr>
        <w:jc w:val="center"/>
        <w:rPr>
          <w:b/>
          <w:lang w:val="en-US" w:eastAsia="zh-CN"/>
        </w:rPr>
      </w:pPr>
      <w:r>
        <w:rPr>
          <w:rFonts w:hint="eastAsia"/>
          <w:b/>
          <w:lang w:val="en-US" w:eastAsia="zh-CN"/>
        </w:rPr>
        <w:t>Table A-2</w:t>
      </w:r>
      <w:r w:rsidR="0099408C" w:rsidRPr="00B87143">
        <w:rPr>
          <w:rFonts w:hint="eastAsia"/>
          <w:b/>
          <w:lang w:val="en-US" w:eastAsia="zh-CN"/>
        </w:rPr>
        <w:t xml:space="preserve"> Simulation Assumption</w:t>
      </w:r>
    </w:p>
    <w:tbl>
      <w:tblPr>
        <w:tblStyle w:val="GridTable4-Accent5"/>
        <w:tblW w:w="0" w:type="auto"/>
        <w:jc w:val="center"/>
        <w:tblLook w:val="04A0" w:firstRow="1" w:lastRow="0" w:firstColumn="1" w:lastColumn="0" w:noHBand="0" w:noVBand="1"/>
      </w:tblPr>
      <w:tblGrid>
        <w:gridCol w:w="2730"/>
        <w:gridCol w:w="3576"/>
      </w:tblGrid>
      <w:tr w:rsidR="0099408C" w14:paraId="11939F1E" w14:textId="77777777" w:rsidTr="003537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36429A19" w14:textId="4B533E82" w:rsidR="0099408C" w:rsidRDefault="0099408C" w:rsidP="0099408C">
            <w:pPr>
              <w:rPr>
                <w:lang w:val="en-US" w:eastAsia="zh-CN"/>
              </w:rPr>
            </w:pPr>
            <w:r>
              <w:rPr>
                <w:rFonts w:hint="eastAsia"/>
                <w:lang w:val="en-US" w:eastAsia="zh-CN"/>
              </w:rPr>
              <w:t>Parameter</w:t>
            </w:r>
          </w:p>
        </w:tc>
        <w:tc>
          <w:tcPr>
            <w:tcW w:w="3576" w:type="dxa"/>
          </w:tcPr>
          <w:p w14:paraId="341E82FB" w14:textId="5391EFAC" w:rsidR="0099408C" w:rsidRDefault="0099408C" w:rsidP="0099408C">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Value</w:t>
            </w:r>
          </w:p>
        </w:tc>
      </w:tr>
      <w:tr w:rsidR="0099408C" w14:paraId="2C0F8042" w14:textId="77777777" w:rsidTr="00353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674C03C2" w14:textId="20A46949" w:rsidR="0099408C" w:rsidRDefault="0099408C" w:rsidP="0099408C">
            <w:pPr>
              <w:rPr>
                <w:lang w:val="en-US" w:eastAsia="zh-CN"/>
              </w:rPr>
            </w:pPr>
            <w:r>
              <w:rPr>
                <w:rFonts w:hint="eastAsia"/>
                <w:lang w:val="en-US" w:eastAsia="zh-CN"/>
              </w:rPr>
              <w:t>Scenario</w:t>
            </w:r>
          </w:p>
        </w:tc>
        <w:tc>
          <w:tcPr>
            <w:tcW w:w="3576" w:type="dxa"/>
          </w:tcPr>
          <w:p w14:paraId="6A391CB7" w14:textId="5FB857C4" w:rsidR="0099408C" w:rsidRDefault="0099408C" w:rsidP="003537BF">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UMa</w:t>
            </w:r>
          </w:p>
        </w:tc>
      </w:tr>
      <w:tr w:rsidR="0099408C" w14:paraId="3AD2CCEB" w14:textId="77777777" w:rsidTr="003537BF">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69B82D67" w14:textId="5128F2B1" w:rsidR="0099408C" w:rsidRDefault="0099408C" w:rsidP="0099408C">
            <w:pPr>
              <w:rPr>
                <w:lang w:val="en-US" w:eastAsia="zh-CN"/>
              </w:rPr>
            </w:pPr>
            <w:r>
              <w:rPr>
                <w:rFonts w:hint="eastAsia"/>
                <w:lang w:val="en-US" w:eastAsia="zh-CN"/>
              </w:rPr>
              <w:t>Subcarrier spacing</w:t>
            </w:r>
          </w:p>
        </w:tc>
        <w:tc>
          <w:tcPr>
            <w:tcW w:w="3576" w:type="dxa"/>
          </w:tcPr>
          <w:p w14:paraId="59B2C8EB" w14:textId="2AF3590D" w:rsidR="0099408C" w:rsidRDefault="0099408C" w:rsidP="0099408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30kHz</w:t>
            </w:r>
          </w:p>
        </w:tc>
      </w:tr>
      <w:tr w:rsidR="0099408C" w14:paraId="2FE56EFC" w14:textId="77777777" w:rsidTr="00353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440C1C47" w14:textId="714FBC84" w:rsidR="0099408C" w:rsidRDefault="0099408C" w:rsidP="0099408C">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576" w:type="dxa"/>
          </w:tcPr>
          <w:p w14:paraId="1FA59F85" w14:textId="1B000AB8" w:rsidR="0099408C" w:rsidRDefault="0099408C" w:rsidP="0099408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4 GHz</w:t>
            </w:r>
          </w:p>
        </w:tc>
      </w:tr>
      <w:tr w:rsidR="0099408C" w14:paraId="54426724" w14:textId="77777777" w:rsidTr="003537BF">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0FDF7FD5" w14:textId="6BA7E492" w:rsidR="0099408C" w:rsidRDefault="0099408C" w:rsidP="0099408C">
            <w:pPr>
              <w:rPr>
                <w:lang w:val="en-US" w:eastAsia="zh-CN"/>
              </w:rPr>
            </w:pPr>
            <w:r>
              <w:rPr>
                <w:rFonts w:hint="eastAsia"/>
                <w:lang w:val="en-US" w:eastAsia="zh-CN"/>
              </w:rPr>
              <w:t>MIMO scheme</w:t>
            </w:r>
          </w:p>
        </w:tc>
        <w:tc>
          <w:tcPr>
            <w:tcW w:w="3576" w:type="dxa"/>
          </w:tcPr>
          <w:p w14:paraId="0C37D065" w14:textId="22F8A9EE" w:rsidR="0099408C" w:rsidRDefault="0099408C" w:rsidP="0099408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SU-MIMO</w:t>
            </w:r>
          </w:p>
        </w:tc>
      </w:tr>
      <w:tr w:rsidR="0099408C" w14:paraId="3F9BE514" w14:textId="77777777" w:rsidTr="00353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127BAF9D" w14:textId="389BD0B9" w:rsidR="0099408C" w:rsidRDefault="0099408C" w:rsidP="0099408C">
            <w:pPr>
              <w:rPr>
                <w:lang w:val="en-US" w:eastAsia="zh-CN"/>
              </w:rPr>
            </w:pPr>
            <w:r>
              <w:rPr>
                <w:rFonts w:hint="eastAsia"/>
                <w:lang w:val="en-US" w:eastAsia="zh-CN"/>
              </w:rPr>
              <w:t>Scheduler</w:t>
            </w:r>
          </w:p>
        </w:tc>
        <w:tc>
          <w:tcPr>
            <w:tcW w:w="3576" w:type="dxa"/>
          </w:tcPr>
          <w:p w14:paraId="2E0CE437" w14:textId="4CA32B10" w:rsidR="0099408C" w:rsidRDefault="0099408C" w:rsidP="0099408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PF</w:t>
            </w:r>
          </w:p>
        </w:tc>
      </w:tr>
      <w:tr w:rsidR="0099408C" w14:paraId="71B6B473" w14:textId="77777777" w:rsidTr="003537BF">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5AAFF499" w14:textId="69D633F4" w:rsidR="0099408C" w:rsidRDefault="00B87143" w:rsidP="0099408C">
            <w:pPr>
              <w:rPr>
                <w:lang w:val="en-US" w:eastAsia="zh-CN"/>
              </w:rPr>
            </w:pPr>
            <w:r>
              <w:rPr>
                <w:rFonts w:hint="eastAsia"/>
                <w:lang w:val="en-US" w:eastAsia="zh-CN"/>
              </w:rPr>
              <w:t>Traffic model</w:t>
            </w:r>
          </w:p>
        </w:tc>
        <w:tc>
          <w:tcPr>
            <w:tcW w:w="3576" w:type="dxa"/>
          </w:tcPr>
          <w:p w14:paraId="2B478499" w14:textId="52072833" w:rsidR="0099408C" w:rsidRDefault="00B87143" w:rsidP="0099408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w:t>
            </w:r>
            <w:r>
              <w:rPr>
                <w:rFonts w:hint="eastAsia"/>
                <w:lang w:val="en-US" w:eastAsia="zh-CN"/>
              </w:rPr>
              <w:t xml:space="preserve">ull </w:t>
            </w:r>
            <w:r>
              <w:rPr>
                <w:lang w:val="en-US" w:eastAsia="zh-CN"/>
              </w:rPr>
              <w:t>buffer</w:t>
            </w:r>
          </w:p>
        </w:tc>
      </w:tr>
      <w:tr w:rsidR="0099408C" w14:paraId="287901BA" w14:textId="77777777" w:rsidTr="00353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09359BF0" w14:textId="779E1640" w:rsidR="0099408C" w:rsidRDefault="00B87143" w:rsidP="0099408C">
            <w:pPr>
              <w:rPr>
                <w:lang w:val="en-US" w:eastAsia="zh-CN"/>
              </w:rPr>
            </w:pPr>
            <w:r>
              <w:rPr>
                <w:rFonts w:hint="eastAsia"/>
                <w:lang w:val="en-US" w:eastAsia="zh-CN"/>
              </w:rPr>
              <w:lastRenderedPageBreak/>
              <w:t xml:space="preserve">gNB antenna structure </w:t>
            </w:r>
          </w:p>
        </w:tc>
        <w:tc>
          <w:tcPr>
            <w:tcW w:w="3576" w:type="dxa"/>
          </w:tcPr>
          <w:p w14:paraId="68ABF8E9" w14:textId="556473BD" w:rsidR="0099408C" w:rsidRDefault="00B87143" w:rsidP="00123236">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M, N, P, Q</w:t>
            </w:r>
            <w:r>
              <w:rPr>
                <w:rFonts w:hint="eastAsia"/>
                <w:lang w:val="en-US" w:eastAsia="zh-CN"/>
              </w:rPr>
              <w:t>)</w:t>
            </w:r>
            <w:r w:rsidR="00C72FD0">
              <w:rPr>
                <w:lang w:val="en-US" w:eastAsia="zh-CN"/>
              </w:rPr>
              <w:t xml:space="preserve"> = (4, 1</w:t>
            </w:r>
            <w:r>
              <w:rPr>
                <w:lang w:val="en-US" w:eastAsia="zh-CN"/>
              </w:rPr>
              <w:t xml:space="preserve">, 2, </w:t>
            </w:r>
            <w:r w:rsidR="00123236">
              <w:rPr>
                <w:lang w:val="en-US" w:eastAsia="zh-CN"/>
              </w:rPr>
              <w:t>8</w:t>
            </w:r>
            <w:r>
              <w:rPr>
                <w:lang w:val="en-US" w:eastAsia="zh-CN"/>
              </w:rPr>
              <w:t>)</w:t>
            </w:r>
          </w:p>
        </w:tc>
      </w:tr>
      <w:tr w:rsidR="00B87143" w14:paraId="14D6185A" w14:textId="77777777" w:rsidTr="003537BF">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64A57A17" w14:textId="3437358C" w:rsidR="00B87143" w:rsidRDefault="00B87143" w:rsidP="0099408C">
            <w:pPr>
              <w:rPr>
                <w:lang w:val="en-US" w:eastAsia="zh-CN"/>
              </w:rPr>
            </w:pPr>
            <w:r>
              <w:rPr>
                <w:rFonts w:hint="eastAsia"/>
                <w:lang w:val="en-US" w:eastAsia="zh-CN"/>
              </w:rPr>
              <w:t>UE antenna structure</w:t>
            </w:r>
          </w:p>
        </w:tc>
        <w:tc>
          <w:tcPr>
            <w:tcW w:w="3576" w:type="dxa"/>
          </w:tcPr>
          <w:p w14:paraId="3B49AF47" w14:textId="0D92239A" w:rsidR="00B87143" w:rsidRDefault="00B87143" w:rsidP="00123236">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M, N, P, Q</w:t>
            </w:r>
            <w:r>
              <w:rPr>
                <w:rFonts w:hint="eastAsia"/>
                <w:lang w:val="en-US" w:eastAsia="zh-CN"/>
              </w:rPr>
              <w:t>)</w:t>
            </w:r>
            <w:r w:rsidR="00123236">
              <w:rPr>
                <w:lang w:val="en-US" w:eastAsia="zh-CN"/>
              </w:rPr>
              <w:t xml:space="preserve"> = (1, 2, 2, 4</w:t>
            </w:r>
            <w:r>
              <w:rPr>
                <w:lang w:val="en-US" w:eastAsia="zh-CN"/>
              </w:rPr>
              <w:t>)</w:t>
            </w:r>
          </w:p>
        </w:tc>
      </w:tr>
      <w:tr w:rsidR="00B87143" w14:paraId="6D013E58" w14:textId="77777777" w:rsidTr="003537B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1C9463A7" w14:textId="3B850059" w:rsidR="00B87143" w:rsidRDefault="00B87143" w:rsidP="0099408C">
            <w:pPr>
              <w:rPr>
                <w:lang w:val="en-US" w:eastAsia="zh-CN"/>
              </w:rPr>
            </w:pPr>
            <w:r>
              <w:rPr>
                <w:lang w:val="en-US" w:eastAsia="zh-CN"/>
              </w:rPr>
              <w:t>P</w:t>
            </w:r>
            <w:r>
              <w:rPr>
                <w:rFonts w:hint="eastAsia"/>
                <w:lang w:val="en-US" w:eastAsia="zh-CN"/>
              </w:rPr>
              <w:t xml:space="preserve">recoding </w:t>
            </w:r>
            <w:r>
              <w:rPr>
                <w:lang w:val="en-US" w:eastAsia="zh-CN"/>
              </w:rPr>
              <w:t>scheme</w:t>
            </w:r>
          </w:p>
        </w:tc>
        <w:tc>
          <w:tcPr>
            <w:tcW w:w="3576" w:type="dxa"/>
          </w:tcPr>
          <w:p w14:paraId="03BFB7F7" w14:textId="3B7FB667" w:rsidR="00B87143" w:rsidRDefault="00123236" w:rsidP="0099408C">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Eigen vector based</w:t>
            </w:r>
          </w:p>
        </w:tc>
      </w:tr>
      <w:tr w:rsidR="003537BF" w14:paraId="2B702633" w14:textId="77777777" w:rsidTr="003537BF">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29E03FC4" w14:textId="6A3A67C8" w:rsidR="003537BF" w:rsidRDefault="003537BF" w:rsidP="0099408C">
            <w:pPr>
              <w:rPr>
                <w:lang w:val="en-US" w:eastAsia="zh-CN"/>
              </w:rPr>
            </w:pPr>
            <w:r>
              <w:rPr>
                <w:rFonts w:hint="eastAsia"/>
                <w:lang w:val="en-US" w:eastAsia="zh-CN"/>
              </w:rPr>
              <w:t xml:space="preserve">Channel </w:t>
            </w:r>
            <w:r>
              <w:rPr>
                <w:lang w:val="en-US" w:eastAsia="zh-CN"/>
              </w:rPr>
              <w:t>estimation scheme</w:t>
            </w:r>
          </w:p>
        </w:tc>
        <w:tc>
          <w:tcPr>
            <w:tcW w:w="3576" w:type="dxa"/>
          </w:tcPr>
          <w:p w14:paraId="1AFB080A" w14:textId="36D67F3F" w:rsidR="003537BF" w:rsidRDefault="003537BF" w:rsidP="0099408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perfec</w:t>
            </w:r>
            <w:r>
              <w:rPr>
                <w:lang w:val="en-US" w:eastAsia="zh-CN"/>
              </w:rPr>
              <w:t>t</w:t>
            </w:r>
          </w:p>
        </w:tc>
      </w:tr>
    </w:tbl>
    <w:p w14:paraId="317A67E5" w14:textId="77777777" w:rsidR="0099408C" w:rsidRPr="0099408C" w:rsidRDefault="0099408C" w:rsidP="0099408C">
      <w:pPr>
        <w:rPr>
          <w:lang w:val="en-US" w:eastAsia="zh-CN"/>
        </w:rPr>
      </w:pPr>
    </w:p>
    <w:sectPr w:rsidR="0099408C" w:rsidRPr="0099408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373E4" w:rsidRDefault="00C373E4">
      <w:r>
        <w:separator/>
      </w:r>
    </w:p>
  </w:endnote>
  <w:endnote w:type="continuationSeparator" w:id="0">
    <w:p w14:paraId="071F1724" w14:textId="77777777" w:rsidR="00C373E4" w:rsidRDefault="00C3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373E4" w:rsidRDefault="00C373E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373E4" w:rsidRDefault="00C373E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373E4" w:rsidRDefault="00C373E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06FC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6FC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373E4" w:rsidRDefault="00C373E4">
      <w:r>
        <w:separator/>
      </w:r>
    </w:p>
  </w:footnote>
  <w:footnote w:type="continuationSeparator" w:id="0">
    <w:p w14:paraId="439D2973" w14:textId="77777777" w:rsidR="00C373E4" w:rsidRDefault="00C37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373E4" w:rsidRDefault="00C373E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4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7"/>
  </w:num>
  <w:num w:numId="7">
    <w:abstractNumId w:val="34"/>
  </w:num>
  <w:num w:numId="8">
    <w:abstractNumId w:val="19"/>
  </w:num>
  <w:num w:numId="9">
    <w:abstractNumId w:val="9"/>
  </w:num>
  <w:num w:numId="10">
    <w:abstractNumId w:val="7"/>
  </w:num>
  <w:num w:numId="11">
    <w:abstractNumId w:val="25"/>
  </w:num>
  <w:num w:numId="12">
    <w:abstractNumId w:val="13"/>
  </w:num>
  <w:num w:numId="13">
    <w:abstractNumId w:val="20"/>
  </w:num>
  <w:num w:numId="14">
    <w:abstractNumId w:val="24"/>
  </w:num>
  <w:num w:numId="15">
    <w:abstractNumId w:val="26"/>
  </w:num>
  <w:num w:numId="16">
    <w:abstractNumId w:val="38"/>
  </w:num>
  <w:num w:numId="17">
    <w:abstractNumId w:val="36"/>
  </w:num>
  <w:num w:numId="18">
    <w:abstractNumId w:val="6"/>
  </w:num>
  <w:num w:numId="19">
    <w:abstractNumId w:val="18"/>
  </w:num>
  <w:num w:numId="20">
    <w:abstractNumId w:val="40"/>
  </w:num>
  <w:num w:numId="21">
    <w:abstractNumId w:val="1"/>
  </w:num>
  <w:num w:numId="22">
    <w:abstractNumId w:val="2"/>
  </w:num>
  <w:num w:numId="23">
    <w:abstractNumId w:val="11"/>
  </w:num>
  <w:num w:numId="24">
    <w:abstractNumId w:val="10"/>
  </w:num>
  <w:num w:numId="25">
    <w:abstractNumId w:val="32"/>
  </w:num>
  <w:num w:numId="26">
    <w:abstractNumId w:val="35"/>
  </w:num>
  <w:num w:numId="27">
    <w:abstractNumId w:val="4"/>
  </w:num>
  <w:num w:numId="28">
    <w:abstractNumId w:val="5"/>
  </w:num>
  <w:num w:numId="29">
    <w:abstractNumId w:val="28"/>
  </w:num>
  <w:num w:numId="30">
    <w:abstractNumId w:val="16"/>
  </w:num>
  <w:num w:numId="31">
    <w:abstractNumId w:val="23"/>
  </w:num>
  <w:num w:numId="32">
    <w:abstractNumId w:val="12"/>
  </w:num>
  <w:num w:numId="33">
    <w:abstractNumId w:val="41"/>
  </w:num>
  <w:num w:numId="34">
    <w:abstractNumId w:val="31"/>
  </w:num>
  <w:num w:numId="35">
    <w:abstractNumId w:val="3"/>
  </w:num>
  <w:num w:numId="36">
    <w:abstractNumId w:val="39"/>
  </w:num>
  <w:num w:numId="37">
    <w:abstractNumId w:val="8"/>
  </w:num>
  <w:num w:numId="38">
    <w:abstractNumId w:val="33"/>
  </w:num>
  <w:num w:numId="39">
    <w:abstractNumId w:val="30"/>
  </w:num>
  <w:num w:numId="40">
    <w:abstractNumId w:val="27"/>
  </w:num>
  <w:num w:numId="41">
    <w:abstractNumId w:val="21"/>
  </w:num>
  <w:num w:numId="42">
    <w:abstractNumId w:val="2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B831D32-158A-4130-AFD1-A81F8E51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1291</Words>
  <Characters>6709</Characters>
  <Application>Microsoft Office Word</Application>
  <DocSecurity>0</DocSecurity>
  <Lines>145</Lines>
  <Paragraphs>97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7932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3</cp:revision>
  <cp:lastPrinted>2011-11-09T07:49:00Z</cp:lastPrinted>
  <dcterms:created xsi:type="dcterms:W3CDTF">2018-01-11T02:08:00Z</dcterms:created>
  <dcterms:modified xsi:type="dcterms:W3CDTF">2018-01-12T12:19:00Z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0x010100E7203326D341CE4C85D524438E4584D9</vt:lpwstr>
  </property>
  <property fmtid="{D5CDD505-2E9C-101B-9397-08002B2CF9AE}" pid="13" name="CTPClassification">
    <vt:lpwstr>CTP_IC</vt:lpwstr>
  </property>
</Properties>
</file>